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Директорці-розпорядниці Міжнародного валютного фонду</w:t>
      </w:r>
    </w:p>
    <w:p w:rsidR="00000000" w:rsidDel="00000000" w:rsidP="00000000" w:rsidRDefault="00000000" w:rsidRPr="00000000" w14:paraId="00000002">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пані Крісталіні Георгієвій</w:t>
      </w:r>
    </w:p>
    <w:p w:rsidR="00000000" w:rsidDel="00000000" w:rsidP="00000000" w:rsidRDefault="00000000" w:rsidRPr="00000000" w14:paraId="00000003">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 </w:t>
      </w:r>
    </w:p>
    <w:p w:rsidR="00000000" w:rsidDel="00000000" w:rsidP="00000000" w:rsidRDefault="00000000" w:rsidRPr="00000000" w14:paraId="00000004">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Європейській комісарці з питань розширення</w:t>
      </w:r>
    </w:p>
    <w:p w:rsidR="00000000" w:rsidDel="00000000" w:rsidP="00000000" w:rsidRDefault="00000000" w:rsidRPr="00000000" w14:paraId="00000005">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Пані Марті Кос</w:t>
      </w:r>
    </w:p>
    <w:p w:rsidR="00000000" w:rsidDel="00000000" w:rsidP="00000000" w:rsidRDefault="00000000" w:rsidRPr="00000000" w14:paraId="00000006">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 </w:t>
      </w:r>
    </w:p>
    <w:p w:rsidR="00000000" w:rsidDel="00000000" w:rsidP="00000000" w:rsidRDefault="00000000" w:rsidRPr="00000000" w14:paraId="00000007">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Послу Європейського Союзу в Україні</w:t>
      </w:r>
    </w:p>
    <w:p w:rsidR="00000000" w:rsidDel="00000000" w:rsidP="00000000" w:rsidRDefault="00000000" w:rsidRPr="00000000" w14:paraId="00000008">
      <w:pPr>
        <w:shd w:fill="ffffff" w:val="clear"/>
        <w:spacing w:line="276" w:lineRule="auto"/>
        <w:jc w:val="right"/>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Пані Катаріні Матерновій</w:t>
      </w:r>
    </w:p>
    <w:p w:rsidR="00000000" w:rsidDel="00000000" w:rsidP="00000000" w:rsidRDefault="00000000" w:rsidRPr="00000000" w14:paraId="00000009">
      <w:pPr>
        <w:shd w:fill="ffffff" w:val="clear"/>
        <w:spacing w:line="276" w:lineRule="auto"/>
        <w:jc w:val="center"/>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 </w:t>
      </w:r>
    </w:p>
    <w:p w:rsidR="00000000" w:rsidDel="00000000" w:rsidP="00000000" w:rsidRDefault="00000000" w:rsidRPr="00000000" w14:paraId="0000000A">
      <w:pPr>
        <w:shd w:fill="ffffff" w:val="clear"/>
        <w:spacing w:line="276" w:lineRule="auto"/>
        <w:rPr>
          <w:rFonts w:ascii="Arial" w:cs="Arial" w:eastAsia="Arial" w:hAnsi="Arial"/>
          <w:i w:val="1"/>
          <w:iCs w:val="1"/>
          <w:color w:val="080809"/>
          <w:sz w:val="23"/>
          <w:szCs w:val="23"/>
        </w:rPr>
      </w:pPr>
      <w:r w:rsidDel="00000000" w:rsidR="00000000" w:rsidRPr="00000000">
        <w:rPr>
          <w:rFonts w:ascii="Arial" w:cs="Arial" w:eastAsia="Arial" w:hAnsi="Arial"/>
          <w:i w:val="1"/>
          <w:iCs w:val="1"/>
          <w:color w:val="080809"/>
          <w:sz w:val="23"/>
          <w:szCs w:val="23"/>
          <w:rtl w:val="0"/>
        </w:rPr>
        <w:t xml:space="preserve">Щодо набрання чинності Законом України </w:t>
      </w:r>
    </w:p>
    <w:p w:rsidR="00000000" w:rsidDel="00000000" w:rsidP="00000000" w:rsidRDefault="00000000" w:rsidRPr="00000000" w14:paraId="0000000B">
      <w:pPr>
        <w:shd w:fill="ffffff" w:val="clear"/>
        <w:spacing w:line="276" w:lineRule="auto"/>
        <w:rPr>
          <w:rFonts w:ascii="Arial" w:cs="Arial" w:eastAsia="Arial" w:hAnsi="Arial"/>
          <w:i w:val="1"/>
          <w:iCs w:val="1"/>
          <w:color w:val="080809"/>
          <w:sz w:val="23"/>
          <w:szCs w:val="23"/>
        </w:rPr>
      </w:pPr>
      <w:r w:rsidDel="00000000" w:rsidR="00000000" w:rsidRPr="00000000">
        <w:rPr>
          <w:rFonts w:ascii="Arial" w:cs="Arial" w:eastAsia="Arial" w:hAnsi="Arial"/>
          <w:i w:val="1"/>
          <w:iCs w:val="1"/>
          <w:color w:val="080809"/>
          <w:sz w:val="23"/>
          <w:szCs w:val="23"/>
          <w:rtl w:val="0"/>
        </w:rPr>
        <w:t xml:space="preserve">№ 4903-ІХ від 09.06.2026 року (про цифрові</w:t>
      </w:r>
    </w:p>
    <w:p w:rsidR="00000000" w:rsidDel="00000000" w:rsidP="00000000" w:rsidRDefault="00000000" w:rsidRPr="00000000" w14:paraId="0000000C">
      <w:pPr>
        <w:shd w:fill="ffffff" w:val="clear"/>
        <w:spacing w:line="276" w:lineRule="auto"/>
        <w:rPr>
          <w:rFonts w:ascii="Arial" w:cs="Arial" w:eastAsia="Arial" w:hAnsi="Arial"/>
          <w:i w:val="1"/>
          <w:iCs w:val="1"/>
          <w:color w:val="080809"/>
          <w:sz w:val="23"/>
          <w:szCs w:val="23"/>
        </w:rPr>
      </w:pPr>
      <w:r w:rsidDel="00000000" w:rsidR="00000000" w:rsidRPr="00000000">
        <w:rPr>
          <w:rFonts w:ascii="Arial" w:cs="Arial" w:eastAsia="Arial" w:hAnsi="Arial"/>
          <w:i w:val="1"/>
          <w:iCs w:val="1"/>
          <w:color w:val="080809"/>
          <w:sz w:val="23"/>
          <w:szCs w:val="23"/>
          <w:rtl w:val="0"/>
        </w:rPr>
        <w:t xml:space="preserve">платформи)</w:t>
      </w:r>
    </w:p>
    <w:p w:rsidR="00000000" w:rsidDel="00000000" w:rsidP="00000000" w:rsidRDefault="00000000" w:rsidRPr="00000000" w14:paraId="0000000D">
      <w:pPr>
        <w:shd w:fill="ffffff" w:val="clear"/>
        <w:spacing w:line="240" w:lineRule="auto"/>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 </w:t>
      </w:r>
    </w:p>
    <w:p w:rsidR="00000000" w:rsidDel="00000000" w:rsidP="00000000" w:rsidRDefault="00000000" w:rsidRPr="00000000" w14:paraId="0000000E">
      <w:pPr>
        <w:shd w:fill="ffffff" w:val="clear"/>
        <w:spacing w:line="240" w:lineRule="auto"/>
        <w:jc w:val="center"/>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Шановні міжнародні партнери!</w:t>
      </w:r>
    </w:p>
    <w:p w:rsidR="00000000" w:rsidDel="00000000" w:rsidP="00000000" w:rsidRDefault="00000000" w:rsidRPr="00000000" w14:paraId="0000000F">
      <w:pPr>
        <w:shd w:fill="ffffff" w:val="clear"/>
        <w:spacing w:line="240" w:lineRule="auto"/>
        <w:jc w:val="center"/>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0">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Аналітичні центри, що спеціалізуються на економічній політиці, висловлюють свою повагу та звертаються з приводу тривалої затримки набрання чинності Законом України №4903‑IX від 9 червня 2026 року «Про внесення змін до Податкового кодексу України та інших законодавчих актів України щодо впровадження міжнародного автоматичного обміну інформацією про доходи, отримані через цифрові платформи, та оподаткування таких доходів» (далі — Закон про цифрові платформи).</w:t>
      </w:r>
    </w:p>
    <w:p w:rsidR="00000000" w:rsidDel="00000000" w:rsidP="00000000" w:rsidRDefault="00000000" w:rsidRPr="00000000" w14:paraId="00000011">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2">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Вважаємо, що цей Закон містить низку важливих реформ, реалізація яких має суттєве значення для розвитку української економіки, виконання міжнародних зобов’язань України та детінізації окремих секторів.</w:t>
      </w:r>
    </w:p>
    <w:p w:rsidR="00000000" w:rsidDel="00000000" w:rsidP="00000000" w:rsidRDefault="00000000" w:rsidRPr="00000000" w14:paraId="00000013">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Закон імплементує міжнародні підходи щодо автоматичного обміну інформацією між цифровими платформами та податковими органами, наближає українське законодавство до стандартів ОЕСР та Європейського Союзу і створює простий механізм добровільної сплати податків для сотень тисяч громадян України.</w:t>
      </w:r>
    </w:p>
    <w:p w:rsidR="00000000" w:rsidDel="00000000" w:rsidP="00000000" w:rsidRDefault="00000000" w:rsidRPr="00000000" w14:paraId="00000014">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5">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Саме тому Закон про цифрові платформи отримав підтримку провідних бізнес-асоціацій та позитивно оцінювався провідними аналітичними центрами як інструмент детінізації економіки, спрощення адміністрування та створення рівних правил для нової цифрової економіки.</w:t>
      </w:r>
    </w:p>
    <w:p w:rsidR="00000000" w:rsidDel="00000000" w:rsidP="00000000" w:rsidRDefault="00000000" w:rsidRPr="00000000" w14:paraId="00000016">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7">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Водночас предметом суспільної дискусії стали зміни, що стосуються фінансового моніторингу політично значущих осіб (PEP). На нашу думку, фінансовий моніторинг таких осіб має й надалі залишатися важливим інструментом запобігання корупції та відмиванню коштів, але контроль повинен бути пропорційним, ґрунтуватися на реальних оцінках ризику і відповідати міжнародним стандартам FATF щодо ризик‑орієнтованого підходу. </w:t>
      </w:r>
    </w:p>
    <w:p w:rsidR="00000000" w:rsidDel="00000000" w:rsidP="00000000" w:rsidRDefault="00000000" w:rsidRPr="00000000" w14:paraId="00000018">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9">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Запропоновані зміни покликані усунути надмірні автоматичні обмеження, які застосовуються лише через факт колишнього статусу PEP, зберігаючи при цьому належні антикорупційні механізми контролю, передбачені міжнародними правилами FATF.</w:t>
      </w:r>
    </w:p>
    <w:p w:rsidR="00000000" w:rsidDel="00000000" w:rsidP="00000000" w:rsidRDefault="00000000" w:rsidRPr="00000000" w14:paraId="0000001A">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Зазначаємо, що нинішня українська модель фінансового моніторингу політично значущих осіб є значно ширшою та більш обтяжливою, ніж у Європейському Союзі. Вона потребує гармонізації з європейською практикою, щоб забезпечити баланс між прозорістю, ефективністю контролю та захистом прав громадян.</w:t>
      </w:r>
    </w:p>
    <w:p w:rsidR="00000000" w:rsidDel="00000000" w:rsidP="00000000" w:rsidRDefault="00000000" w:rsidRPr="00000000" w14:paraId="0000001B">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C">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Вважаємо також, що перегляд окремих вимог до фінансового контролю за політично значущими особами може бути прийнятним за умови збереження належного рівня прозорості та підзвітності, особливо на тлі поступового посилення антикорупційних інституцій (НАБУ та САП), які останнім часом демонструють свою ефективність та є важливим запобіжником і додатковою гарантією доброчесності публічного сектору.</w:t>
      </w:r>
    </w:p>
    <w:p w:rsidR="00000000" w:rsidDel="00000000" w:rsidP="00000000" w:rsidRDefault="00000000" w:rsidRPr="00000000" w14:paraId="0000001D">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В той же час ми вважаємо, що практика поєднання в одному законодавчому акті різних за змістом норм (оподаткування та PEP) - є неприйнятною як така, що суперечить логіці законодавчого процесу. </w:t>
      </w:r>
    </w:p>
    <w:p w:rsidR="00000000" w:rsidDel="00000000" w:rsidP="00000000" w:rsidRDefault="00000000" w:rsidRPr="00000000" w14:paraId="0000001E">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1F">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Україна сьогодні потребує швидких та якісних економічних реформ, які сприятимуть зменшенню адміністративних бар’єрів, детінізації господарської діяльності та подальшій інтеграції України до європейського економічного простору. Закон про цифрові платформи є одним із таких інструментів, тому затримка з його набранням чинності може відтермінувати ці важливі зміни.</w:t>
      </w:r>
    </w:p>
    <w:p w:rsidR="00000000" w:rsidDel="00000000" w:rsidP="00000000" w:rsidRDefault="00000000" w:rsidRPr="00000000" w14:paraId="00000020">
      <w:pPr>
        <w:shd w:fill="ffffff" w:val="clear"/>
        <w:spacing w:line="336" w:lineRule="auto"/>
        <w:ind w:left="0" w:firstLine="720"/>
        <w:jc w:val="both"/>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21">
      <w:pPr>
        <w:shd w:fill="ffffff" w:val="clear"/>
        <w:spacing w:line="336" w:lineRule="auto"/>
        <w:ind w:left="0" w:firstLine="720"/>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У зв’язку з цим просимо Європейську Комісію та Міжнародний валютний фонд сприяти ухваленню зваженого рішення, яке б дозволило забезпечити набрання чинності Законом про цифрові платформи, не відмовляючись від подальшого вдосконалення окремих його положень у конструктивному діалозі між українською владою та міжнародними партнерами.</w:t>
      </w:r>
    </w:p>
    <w:p w:rsidR="00000000" w:rsidDel="00000000" w:rsidP="00000000" w:rsidRDefault="00000000" w:rsidRPr="00000000" w14:paraId="00000022">
      <w:pPr>
        <w:shd w:fill="ffffff" w:val="clear"/>
        <w:spacing w:line="276" w:lineRule="auto"/>
        <w:jc w:val="both"/>
        <w:rPr>
          <w:rFonts w:ascii="Arial" w:cs="Arial" w:eastAsia="Arial" w:hAnsi="Arial"/>
          <w:color w:val="080809"/>
          <w:sz w:val="23"/>
          <w:szCs w:val="23"/>
        </w:rPr>
      </w:pPr>
      <w:r w:rsidDel="00000000" w:rsidR="00000000" w:rsidRPr="00000000">
        <w:rPr>
          <w:rFonts w:ascii="Arial" w:cs="Arial" w:eastAsia="Arial" w:hAnsi="Arial"/>
          <w:color w:val="080809"/>
          <w:sz w:val="23"/>
          <w:szCs w:val="23"/>
          <w:rtl w:val="0"/>
        </w:rPr>
        <w:t xml:space="preserve"> </w:t>
      </w:r>
    </w:p>
    <w:p w:rsidR="00000000" w:rsidDel="00000000" w:rsidP="00000000" w:rsidRDefault="00000000" w:rsidRPr="00000000" w14:paraId="00000023">
      <w:pPr>
        <w:shd w:fill="ffffff" w:val="clear"/>
        <w:rPr>
          <w:rFonts w:ascii="Arial" w:cs="Arial" w:eastAsia="Arial" w:hAnsi="Arial"/>
          <w:sz w:val="21"/>
          <w:szCs w:val="21"/>
        </w:rPr>
      </w:pPr>
      <w:r w:rsidDel="00000000" w:rsidR="00000000" w:rsidRPr="00000000">
        <w:rPr>
          <w:rFonts w:ascii="Arial" w:cs="Arial" w:eastAsia="Arial" w:hAnsi="Arial"/>
          <w:sz w:val="21"/>
          <w:szCs w:val="21"/>
          <w:rtl w:val="0"/>
        </w:rPr>
        <w:t xml:space="preserve">З повагою</w:t>
      </w:r>
    </w:p>
    <w:p w:rsidR="00000000" w:rsidDel="00000000" w:rsidP="00000000" w:rsidRDefault="00000000" w:rsidRPr="00000000" w14:paraId="00000024">
      <w:pPr>
        <w:shd w:fill="ffffff" w:val="clear"/>
        <w:rPr>
          <w:rFonts w:ascii="Arial" w:cs="Arial" w:eastAsia="Arial" w:hAnsi="Arial"/>
          <w:color w:val="888888"/>
          <w:sz w:val="21"/>
          <w:szCs w:val="21"/>
        </w:rPr>
      </w:pPr>
      <w:r w:rsidDel="00000000" w:rsidR="00000000" w:rsidRPr="00000000">
        <w:rPr>
          <w:rFonts w:ascii="Arial" w:cs="Arial" w:eastAsia="Arial" w:hAnsi="Arial"/>
          <w:i w:val="1"/>
          <w:iCs w:val="1"/>
          <w:sz w:val="21"/>
          <w:szCs w:val="21"/>
          <w:rtl w:val="0"/>
        </w:rPr>
        <w:t xml:space="preserve">Аналітичні центри:</w:t>
      </w:r>
      <w:r w:rsidDel="00000000" w:rsidR="00000000" w:rsidRPr="00000000">
        <w:rPr>
          <w:rtl w:val="0"/>
        </w:rPr>
      </w:r>
    </w:p>
    <w:p w:rsidR="00000000" w:rsidDel="00000000" w:rsidP="00000000" w:rsidRDefault="00000000" w:rsidRPr="00000000" w14:paraId="00000025">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Центр соціально-економічних досліджень - CASE Україна</w:t>
      </w:r>
      <w:r w:rsidDel="00000000" w:rsidR="00000000" w:rsidRPr="00000000">
        <w:rPr>
          <w:rtl w:val="0"/>
        </w:rPr>
      </w:r>
    </w:p>
    <w:p w:rsidR="00000000" w:rsidDel="00000000" w:rsidP="00000000" w:rsidRDefault="00000000" w:rsidRPr="00000000" w14:paraId="00000026">
      <w:pPr>
        <w:shd w:fill="ffffff" w:val="clea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Інститут економічних досліджень та політичних консультацій</w:t>
      </w:r>
    </w:p>
    <w:p w:rsidR="00000000" w:rsidDel="00000000" w:rsidP="00000000" w:rsidRDefault="00000000" w:rsidRPr="00000000" w14:paraId="00000027">
      <w:pPr>
        <w:shd w:fill="ffffff" w:val="clear"/>
        <w:rPr>
          <w:rFonts w:ascii="Arial" w:cs="Arial" w:eastAsia="Arial" w:hAnsi="Arial"/>
          <w:i w:val="1"/>
          <w:iCs w:val="1"/>
          <w:color w:val="cccccc"/>
          <w:sz w:val="21"/>
          <w:szCs w:val="21"/>
        </w:rPr>
      </w:pPr>
      <w:r w:rsidDel="00000000" w:rsidR="00000000" w:rsidRPr="00000000">
        <w:rPr>
          <w:rFonts w:ascii="Arial" w:cs="Arial" w:eastAsia="Arial" w:hAnsi="Arial"/>
          <w:i w:val="1"/>
          <w:iCs w:val="1"/>
          <w:sz w:val="21"/>
          <w:szCs w:val="21"/>
          <w:rtl w:val="0"/>
        </w:rPr>
        <w:t xml:space="preserve">Центр економічного відновлення</w:t>
      </w:r>
      <w:r w:rsidDel="00000000" w:rsidR="00000000" w:rsidRPr="00000000">
        <w:rPr>
          <w:rtl w:val="0"/>
        </w:rPr>
      </w:r>
    </w:p>
    <w:p w:rsidR="00000000" w:rsidDel="00000000" w:rsidP="00000000" w:rsidRDefault="00000000" w:rsidRPr="00000000" w14:paraId="00000028">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Інститут соціально-економічної трансформації </w:t>
      </w:r>
      <w:r w:rsidDel="00000000" w:rsidR="00000000" w:rsidRPr="00000000">
        <w:rPr>
          <w:rtl w:val="0"/>
        </w:rPr>
      </w:r>
    </w:p>
    <w:p w:rsidR="00000000" w:rsidDel="00000000" w:rsidP="00000000" w:rsidRDefault="00000000" w:rsidRPr="00000000" w14:paraId="00000029">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Центр економічної стратегії</w:t>
      </w:r>
      <w:r w:rsidDel="00000000" w:rsidR="00000000" w:rsidRPr="00000000">
        <w:rPr>
          <w:rtl w:val="0"/>
        </w:rPr>
      </w:r>
    </w:p>
    <w:p w:rsidR="00000000" w:rsidDel="00000000" w:rsidP="00000000" w:rsidRDefault="00000000" w:rsidRPr="00000000" w14:paraId="0000002A">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Український інститут правової політики</w:t>
      </w:r>
      <w:r w:rsidDel="00000000" w:rsidR="00000000" w:rsidRPr="00000000">
        <w:rPr>
          <w:rtl w:val="0"/>
        </w:rPr>
      </w:r>
    </w:p>
    <w:p w:rsidR="00000000" w:rsidDel="00000000" w:rsidP="00000000" w:rsidRDefault="00000000" w:rsidRPr="00000000" w14:paraId="0000002B">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Мережа захисту національних інтересів “АНТС“</w:t>
      </w:r>
      <w:r w:rsidDel="00000000" w:rsidR="00000000" w:rsidRPr="00000000">
        <w:rPr>
          <w:rtl w:val="0"/>
        </w:rPr>
      </w:r>
    </w:p>
    <w:p w:rsidR="00000000" w:rsidDel="00000000" w:rsidP="00000000" w:rsidRDefault="00000000" w:rsidRPr="00000000" w14:paraId="0000002C">
      <w:pPr>
        <w:shd w:fill="ffffff" w:val="clea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Growford Institute</w:t>
      </w:r>
    </w:p>
    <w:p w:rsidR="00000000" w:rsidDel="00000000" w:rsidP="00000000" w:rsidRDefault="00000000" w:rsidRPr="00000000" w14:paraId="0000002D">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Інститут податкових реформ</w:t>
      </w:r>
      <w:r w:rsidDel="00000000" w:rsidR="00000000" w:rsidRPr="00000000">
        <w:rPr>
          <w:rtl w:val="0"/>
        </w:rPr>
      </w:r>
    </w:p>
    <w:p w:rsidR="00000000" w:rsidDel="00000000" w:rsidP="00000000" w:rsidRDefault="00000000" w:rsidRPr="00000000" w14:paraId="0000002E">
      <w:pPr>
        <w:shd w:fill="ffffff" w:val="clea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Асоціація податкових консультантів</w:t>
      </w:r>
    </w:p>
    <w:p w:rsidR="00000000" w:rsidDel="00000000" w:rsidP="00000000" w:rsidRDefault="00000000" w:rsidRPr="00000000" w14:paraId="0000002F">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Аналітичний центр Advanter Group</w:t>
      </w:r>
      <w:r w:rsidDel="00000000" w:rsidR="00000000" w:rsidRPr="00000000">
        <w:rPr>
          <w:rtl w:val="0"/>
        </w:rPr>
      </w:r>
    </w:p>
    <w:p w:rsidR="00000000" w:rsidDel="00000000" w:rsidP="00000000" w:rsidRDefault="00000000" w:rsidRPr="00000000" w14:paraId="00000030">
      <w:pPr>
        <w:shd w:fill="ffffff" w:val="clea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Офіс шеф-економіста Коаліції бізнес-спільнот за модернізацію України </w:t>
      </w:r>
    </w:p>
    <w:p w:rsidR="00000000" w:rsidDel="00000000" w:rsidP="00000000" w:rsidRDefault="00000000" w:rsidRPr="00000000" w14:paraId="00000031">
      <w:pPr>
        <w:shd w:fill="ffffff" w:val="clear"/>
        <w:rPr>
          <w:rFonts w:ascii="Arial" w:cs="Arial" w:eastAsia="Arial" w:hAnsi="Arial"/>
          <w:sz w:val="21"/>
          <w:szCs w:val="21"/>
        </w:rPr>
      </w:pPr>
      <w:r w:rsidDel="00000000" w:rsidR="00000000" w:rsidRPr="00000000">
        <w:rPr>
          <w:rFonts w:ascii="Arial" w:cs="Arial" w:eastAsia="Arial" w:hAnsi="Arial"/>
          <w:i w:val="1"/>
          <w:iCs w:val="1"/>
          <w:sz w:val="21"/>
          <w:szCs w:val="21"/>
          <w:rtl w:val="0"/>
        </w:rPr>
        <w:t xml:space="preserve">Інститут фінансів та права</w:t>
      </w:r>
      <w:r w:rsidDel="00000000" w:rsidR="00000000" w:rsidRPr="00000000">
        <w:rPr>
          <w:rtl w:val="0"/>
        </w:rPr>
      </w:r>
    </w:p>
    <w:p w:rsidR="00000000" w:rsidDel="00000000" w:rsidP="00000000" w:rsidRDefault="00000000" w:rsidRPr="00000000" w14:paraId="00000032">
      <w:pPr>
        <w:shd w:fill="ffffff" w:val="clear"/>
        <w:rPr>
          <w:rFonts w:ascii="Arial" w:cs="Arial" w:eastAsia="Arial" w:hAnsi="Arial"/>
          <w:i w:val="1"/>
          <w:iCs w:val="1"/>
          <w:sz w:val="21"/>
          <w:szCs w:val="21"/>
        </w:rPr>
      </w:pPr>
      <w:r w:rsidDel="00000000" w:rsidR="00000000" w:rsidRPr="00000000">
        <w:rPr>
          <w:rFonts w:ascii="Arial" w:cs="Arial" w:eastAsia="Arial" w:hAnsi="Arial"/>
          <w:i w:val="1"/>
          <w:iCs w:val="1"/>
          <w:sz w:val="21"/>
          <w:szCs w:val="21"/>
          <w:rtl w:val="0"/>
        </w:rPr>
        <w:t xml:space="preserve">Аналітичний центр “Технології Прогресу”</w:t>
      </w:r>
    </w:p>
    <w:p w:rsidR="00000000" w:rsidDel="00000000" w:rsidP="00000000" w:rsidRDefault="00000000" w:rsidRPr="00000000" w14:paraId="00000033">
      <w:pPr>
        <w:shd w:fill="ffffff" w:val="clear"/>
        <w:spacing w:before="0" w:line="240" w:lineRule="auto"/>
        <w:rPr>
          <w:rFonts w:ascii="Arial" w:cs="Arial" w:eastAsia="Arial" w:hAnsi="Arial"/>
          <w:color w:val="080809"/>
          <w:sz w:val="23"/>
          <w:szCs w:val="23"/>
        </w:rPr>
      </w:pPr>
      <w:r w:rsidDel="00000000" w:rsidR="00000000" w:rsidRPr="00000000">
        <w:rPr>
          <w:rtl w:val="0"/>
        </w:rPr>
      </w:r>
    </w:p>
    <w:p w:rsidR="00000000" w:rsidDel="00000000" w:rsidP="00000000" w:rsidRDefault="00000000" w:rsidRPr="00000000" w14:paraId="00000034">
      <w:pPr>
        <w:jc w:val="both"/>
        <w:rPr>
          <w:color w:val="cccccc"/>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spacing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after="160"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oim6FHDrNTzkix8Aaw2F+j7Tg==">CgMxLjA4AHIhMXp1NHRpYUhHRlYyeEUxaE50YUJoSGpleUhuNUhpVDdn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2026-06-12T12:37:39Z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ea896167-80c5-4e5c-bdfe-cdf752d5197a</vt:lpwstr>
  </property>
  <property fmtid="{D5CDD505-2E9C-101B-9397-08002B2CF9AE}" pid="7" name="MSIP_Label_defa4170-0d19-0005-0004-bc88714345d2_ActionId">
    <vt:lpwstr>3e0750e1-591d-4509-8bec-dc460b669839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